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315F22">
        <w:trPr>
          <w:trHeight w:val="389"/>
        </w:trPr>
        <w:tc>
          <w:tcPr>
            <w:tcW w:w="5356" w:type="dxa"/>
          </w:tcPr>
          <w:p w:rsidR="00F92474" w:rsidRPr="003E1A42" w:rsidRDefault="00BF5B80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 w:rsidR="001F3D6A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60 </w:t>
            </w:r>
            <w:proofErr w:type="spellStart"/>
            <w:r w:rsidR="001F3D6A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RLq</w:t>
            </w:r>
            <w:proofErr w:type="spellEnd"/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1F3D6A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DD550A">
              <w:rPr>
                <w:noProof/>
              </w:rPr>
              <w:drawing>
                <wp:inline distT="0" distB="0" distL="0" distR="0">
                  <wp:extent cx="2199831" cy="3985200"/>
                  <wp:effectExtent l="0" t="0" r="0" b="0"/>
                  <wp:docPr id="1" name="Рисунок 1" descr="remontnyy_sostav_indastro_profskrin_rc60_rlq_25_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montnyy_sostav_indastro_profskrin_rc60_rlq_25_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831" cy="39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315F22">
        <w:trPr>
          <w:trHeight w:val="502"/>
        </w:trPr>
        <w:tc>
          <w:tcPr>
            <w:tcW w:w="5356" w:type="dxa"/>
          </w:tcPr>
          <w:p w:rsidR="00F92474" w:rsidRDefault="001F3D6A" w:rsidP="00211AD6">
            <w:pPr>
              <w:pStyle w:val="a4"/>
              <w:ind w:left="-108" w:right="-113"/>
              <w:contextualSpacing w:val="0"/>
            </w:pPr>
            <w:proofErr w:type="spellStart"/>
            <w:r w:rsidRPr="001F0828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Сверхбыстротвердеющий</w:t>
            </w:r>
            <w:proofErr w:type="spellEnd"/>
            <w:r w:rsidRPr="001F0828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высокопрочный безусадочный ремонтный состав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Профскрин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</w:t>
            </w:r>
            <w:r w:rsidRPr="001F0828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наливного типа, предназначенный для конструкционного ремонта новых бетонных и железобетонных конструкций в сжатые сроки</w:t>
            </w:r>
            <w:r w:rsidR="00AE4D7A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, в том числе при отрицательных температурах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315F22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1F3D6A" w:rsidRDefault="001F3D6A" w:rsidP="003E1A42">
            <w:pPr>
              <w:jc w:val="center"/>
              <w:rPr>
                <w:noProof/>
                <w:lang w:eastAsia="ru-RU"/>
              </w:rPr>
            </w:pPr>
          </w:p>
          <w:p w:rsidR="001F3D6A" w:rsidRDefault="001F3D6A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1F3D6A" w:rsidRPr="008B0FCE" w:rsidRDefault="001F3D6A" w:rsidP="001F3D6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0B1E54">
              <w:rPr>
                <w:rFonts w:ascii="Arial" w:hAnsi="Arial" w:cs="Arial"/>
                <w:color w:val="000000"/>
                <w:kern w:val="24"/>
              </w:rPr>
              <w:t>Соответствует классу R4 (по европейскому стандарту EN</w:t>
            </w:r>
            <w:r w:rsidRPr="008B0FCE">
              <w:rPr>
                <w:rFonts w:ascii="Arial" w:hAnsi="Arial" w:cs="Arial"/>
                <w:color w:val="000000"/>
                <w:kern w:val="24"/>
              </w:rPr>
              <w:t>1504).</w:t>
            </w:r>
          </w:p>
          <w:p w:rsidR="001F3D6A" w:rsidRPr="000B1E54" w:rsidRDefault="001F3D6A" w:rsidP="001F3D6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0B1E54">
              <w:rPr>
                <w:rFonts w:ascii="Arial" w:hAnsi="Arial" w:cs="Arial"/>
                <w:color w:val="000000"/>
                <w:kern w:val="24"/>
              </w:rPr>
              <w:t>Полностью подходит для ремонта бетона высокой прочности (М400 и выше).</w:t>
            </w:r>
          </w:p>
          <w:p w:rsidR="001F3D6A" w:rsidRPr="000B1E54" w:rsidRDefault="001F3D6A" w:rsidP="001F3D6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0B1E54">
              <w:rPr>
                <w:rFonts w:ascii="Arial" w:hAnsi="Arial" w:cs="Arial"/>
                <w:color w:val="000000"/>
                <w:kern w:val="24"/>
              </w:rPr>
              <w:t>Является безусадочным.</w:t>
            </w:r>
          </w:p>
          <w:p w:rsidR="00F92474" w:rsidRPr="001F3D6A" w:rsidRDefault="001F3D6A" w:rsidP="001F3D6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  <w:b/>
              </w:rPr>
            </w:pPr>
            <w:r w:rsidRPr="000B1E54">
              <w:rPr>
                <w:rFonts w:ascii="Arial" w:hAnsi="Arial" w:cs="Arial"/>
                <w:color w:val="000000"/>
                <w:kern w:val="24"/>
              </w:rPr>
              <w:t>Обладает сверхбыстрым набором прочности.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315F22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315F22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AC2AFD" w:rsidRPr="00550912" w:rsidRDefault="001F3D6A" w:rsidP="001F3D6A">
            <w:pPr>
              <w:ind w:left="38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550912">
              <w:rPr>
                <w:rFonts w:ascii="Arial" w:hAnsi="Arial" w:cs="Arial"/>
                <w:bCs/>
                <w:color w:val="000000"/>
              </w:rPr>
              <w:t xml:space="preserve">Высокопрочная безусадочная сухая смесь наливного типа, содержащая полимерную фибру. </w:t>
            </w:r>
            <w:proofErr w:type="spellStart"/>
            <w:r w:rsidRPr="00550912"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 w:rsidRPr="00550912">
              <w:rPr>
                <w:rFonts w:ascii="Arial" w:hAnsi="Arial" w:cs="Arial"/>
                <w:bCs/>
                <w:color w:val="000000"/>
              </w:rPr>
              <w:t xml:space="preserve"> RC60 </w:t>
            </w:r>
            <w:proofErr w:type="spellStart"/>
            <w:r w:rsidRPr="00550912">
              <w:rPr>
                <w:rFonts w:ascii="Arial" w:hAnsi="Arial" w:cs="Arial"/>
                <w:bCs/>
                <w:color w:val="000000"/>
              </w:rPr>
              <w:t>RLq</w:t>
            </w:r>
            <w:proofErr w:type="spellEnd"/>
            <w:r w:rsidRPr="00550912">
              <w:rPr>
                <w:rFonts w:ascii="Arial" w:hAnsi="Arial" w:cs="Arial"/>
                <w:bCs/>
                <w:color w:val="000000"/>
              </w:rPr>
              <w:t xml:space="preserve"> используется для конструкционного ремонта новых бетонных и железобетонных конструкций в сжатые сроки. Внутри и снаружи помещений. </w:t>
            </w:r>
            <w:r w:rsidR="00AC2AFD" w:rsidRPr="00550912">
              <w:rPr>
                <w:rFonts w:ascii="Arial" w:hAnsi="Arial" w:cs="Arial"/>
                <w:bCs/>
                <w:color w:val="000000"/>
              </w:rPr>
              <w:t>Продукция экологически безопасна и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санитарно-гигиеническим нормам.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1F3D6A" w:rsidRPr="00550912" w:rsidRDefault="001F3D6A" w:rsidP="001F3D6A">
            <w:pPr>
              <w:ind w:left="38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550912">
              <w:rPr>
                <w:rFonts w:ascii="Arial" w:hAnsi="Arial" w:cs="Arial"/>
                <w:bCs/>
                <w:color w:val="000000"/>
              </w:rPr>
              <w:t xml:space="preserve">Ремонтный состав </w:t>
            </w:r>
            <w:proofErr w:type="spellStart"/>
            <w:r w:rsidRPr="00550912"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 w:rsidRPr="00550912">
              <w:rPr>
                <w:rFonts w:ascii="Arial" w:hAnsi="Arial" w:cs="Arial"/>
                <w:bCs/>
                <w:color w:val="000000"/>
              </w:rPr>
              <w:t xml:space="preserve"> RC60 </w:t>
            </w:r>
            <w:proofErr w:type="spellStart"/>
            <w:r w:rsidRPr="00550912">
              <w:rPr>
                <w:rFonts w:ascii="Arial" w:hAnsi="Arial" w:cs="Arial"/>
                <w:bCs/>
                <w:color w:val="000000"/>
              </w:rPr>
              <w:t>RLq</w:t>
            </w:r>
            <w:proofErr w:type="spellEnd"/>
            <w:r w:rsidRPr="00550912">
              <w:rPr>
                <w:rFonts w:ascii="Arial" w:hAnsi="Arial" w:cs="Arial"/>
                <w:bCs/>
                <w:color w:val="000000"/>
              </w:rPr>
              <w:t xml:space="preserve"> применяется для конструкционного ремонта бетонных конструкций:</w:t>
            </w:r>
          </w:p>
          <w:p w:rsidR="001F3D6A" w:rsidRPr="008E7E30" w:rsidRDefault="001F3D6A" w:rsidP="001F3D6A">
            <w:pPr>
              <w:numPr>
                <w:ilvl w:val="0"/>
                <w:numId w:val="5"/>
              </w:numPr>
              <w:ind w:left="464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E7E30">
              <w:rPr>
                <w:rFonts w:ascii="Arial" w:hAnsi="Arial" w:cs="Arial"/>
                <w:color w:val="000000"/>
                <w:kern w:val="24"/>
              </w:rPr>
              <w:t>Густоармированных поверхностей, где невозможно ручное нанесение</w:t>
            </w:r>
          </w:p>
          <w:p w:rsidR="001F3D6A" w:rsidRPr="008E7E30" w:rsidRDefault="001F3D6A" w:rsidP="001F3D6A">
            <w:pPr>
              <w:numPr>
                <w:ilvl w:val="0"/>
                <w:numId w:val="5"/>
              </w:numPr>
              <w:ind w:left="464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E7E30">
              <w:rPr>
                <w:rFonts w:ascii="Arial" w:hAnsi="Arial" w:cs="Arial"/>
                <w:color w:val="000000"/>
                <w:kern w:val="24"/>
              </w:rPr>
              <w:t>Мостовых конс</w:t>
            </w:r>
            <w:bookmarkStart w:id="0" w:name="_GoBack"/>
            <w:bookmarkEnd w:id="0"/>
            <w:r w:rsidRPr="008E7E30">
              <w:rPr>
                <w:rFonts w:ascii="Arial" w:hAnsi="Arial" w:cs="Arial"/>
                <w:color w:val="000000"/>
                <w:kern w:val="24"/>
              </w:rPr>
              <w:t>трукций</w:t>
            </w:r>
          </w:p>
          <w:p w:rsidR="001F3D6A" w:rsidRPr="008E7E30" w:rsidRDefault="001F3D6A" w:rsidP="001F3D6A">
            <w:pPr>
              <w:numPr>
                <w:ilvl w:val="0"/>
                <w:numId w:val="5"/>
              </w:numPr>
              <w:ind w:left="464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E7E30">
              <w:rPr>
                <w:rFonts w:ascii="Arial" w:hAnsi="Arial" w:cs="Arial"/>
                <w:color w:val="000000"/>
                <w:kern w:val="24"/>
              </w:rPr>
              <w:t>Дорожного полотна, аэродромов, паркингов</w:t>
            </w:r>
          </w:p>
          <w:p w:rsidR="001F3D6A" w:rsidRPr="008E7E30" w:rsidRDefault="001F3D6A" w:rsidP="001F3D6A">
            <w:pPr>
              <w:numPr>
                <w:ilvl w:val="0"/>
                <w:numId w:val="5"/>
              </w:numPr>
              <w:ind w:left="464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E7E30">
              <w:rPr>
                <w:rFonts w:ascii="Arial" w:hAnsi="Arial" w:cs="Arial"/>
                <w:color w:val="000000"/>
                <w:kern w:val="24"/>
              </w:rPr>
              <w:t xml:space="preserve">Для </w:t>
            </w:r>
            <w:proofErr w:type="spellStart"/>
            <w:r w:rsidRPr="008E7E30">
              <w:rPr>
                <w:rFonts w:ascii="Arial" w:hAnsi="Arial" w:cs="Arial"/>
                <w:color w:val="000000"/>
                <w:kern w:val="24"/>
              </w:rPr>
              <w:t>омоноличивания</w:t>
            </w:r>
            <w:proofErr w:type="spellEnd"/>
            <w:r w:rsidRPr="008E7E30">
              <w:rPr>
                <w:rFonts w:ascii="Arial" w:hAnsi="Arial" w:cs="Arial"/>
                <w:color w:val="000000"/>
                <w:kern w:val="24"/>
              </w:rPr>
              <w:t xml:space="preserve"> стыков бетонных и железобетонных конструкций</w:t>
            </w:r>
          </w:p>
          <w:p w:rsidR="007A0ABC" w:rsidRPr="007A0ABC" w:rsidRDefault="007A0ABC" w:rsidP="007A0ABC">
            <w:pPr>
              <w:pStyle w:val="a4"/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7A0ABC" w:rsidRDefault="007A0ABC" w:rsidP="00AC2AFD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A0ABC" w:rsidRDefault="003009F9" w:rsidP="00AC2AFD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3009F9">
              <w:rPr>
                <w:rFonts w:ascii="Arial" w:hAnsi="Arial" w:cs="Arial"/>
                <w:bCs/>
                <w:color w:val="000000"/>
              </w:rPr>
              <w:lastRenderedPageBreak/>
              <w:t>от коррозии, а также улучшения сцепления необходимо нанести антикоррозионный состав </w:t>
            </w:r>
            <w:proofErr w:type="spellStart"/>
            <w:r w:rsidRPr="003009F9">
              <w:rPr>
                <w:rFonts w:ascii="Arial" w:hAnsi="Arial" w:cs="Arial"/>
                <w:bCs/>
                <w:color w:val="000000"/>
              </w:rPr>
              <w:fldChar w:fldCharType="begin"/>
            </w:r>
            <w:r w:rsidRPr="003009F9">
              <w:rPr>
                <w:rFonts w:ascii="Arial" w:hAnsi="Arial" w:cs="Arial"/>
                <w:bCs/>
                <w:color w:val="000000"/>
              </w:rPr>
              <w:instrText xml:space="preserve"> HYPERLINK "http://www.indastro-tech.ru/products/remont-i-zashchita-betona/antikorrozionnyy-sostav-profskrin-lc2-5/" </w:instrText>
            </w:r>
            <w:r w:rsidRPr="003009F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009F9"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 w:rsidRPr="003009F9">
              <w:rPr>
                <w:rFonts w:ascii="Arial" w:hAnsi="Arial" w:cs="Arial"/>
                <w:bCs/>
                <w:color w:val="000000"/>
              </w:rPr>
              <w:t xml:space="preserve"> LC2.5</w:t>
            </w:r>
            <w:r w:rsidRPr="003009F9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3009F9">
              <w:rPr>
                <w:rFonts w:ascii="Arial" w:hAnsi="Arial" w:cs="Arial"/>
                <w:bCs/>
                <w:color w:val="000000"/>
              </w:rPr>
              <w:t>. Для этого материалы смешивают с водой до пластичной консистенции и наносят с помощью кисти на слегка влажное основание. При этом необходимо избегать высыхания нанесенного слоя.</w:t>
            </w:r>
          </w:p>
          <w:p w:rsidR="003009F9" w:rsidRDefault="003009F9" w:rsidP="00AC2AFD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DD50F3" w:rsidRPr="007A0ABC" w:rsidRDefault="003009F9" w:rsidP="003009F9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3009F9">
              <w:rPr>
                <w:rFonts w:ascii="Arial" w:hAnsi="Arial" w:cs="Arial"/>
                <w:bCs/>
                <w:color w:val="000000"/>
              </w:rPr>
              <w:t xml:space="preserve">Для приготовления раствора содержимое мешка при постоянном перемешивании высыпать в ёмкость с чистой водой из расчета на 1 мешок 25 кг – 3,75-4 л воды и перемешать до образования однородной массы. Перемешивание производится профессиональным миксером. Замешивание материала миксерами гравитационного типа или вручную не рекомендуется. Для смешивания необходимо использовать весь мешок с материалом. Раствор необходимо выдержать 3-5 минут, а затем повторно перемешать. После этого раствор готов </w:t>
            </w:r>
          </w:p>
        </w:tc>
        <w:tc>
          <w:tcPr>
            <w:tcW w:w="5417" w:type="dxa"/>
          </w:tcPr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3009F9" w:rsidRPr="003009F9" w:rsidRDefault="003009F9" w:rsidP="003009F9">
            <w:pPr>
              <w:ind w:left="35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3009F9">
              <w:rPr>
                <w:rFonts w:ascii="Arial" w:hAnsi="Arial" w:cs="Arial"/>
                <w:bCs/>
                <w:color w:val="000000"/>
              </w:rPr>
              <w:t xml:space="preserve">Основание должно быть чистым, прочным и способным нести нагрузку. Особо плотные, </w:t>
            </w:r>
          </w:p>
          <w:p w:rsidR="003009F9" w:rsidRPr="003009F9" w:rsidRDefault="003009F9" w:rsidP="003009F9">
            <w:pPr>
              <w:ind w:left="35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3009F9">
              <w:rPr>
                <w:rFonts w:ascii="Arial" w:hAnsi="Arial" w:cs="Arial"/>
                <w:bCs/>
                <w:color w:val="000000"/>
              </w:rPr>
              <w:t xml:space="preserve">гладкие основания и не способные нести нагрузку слои (например, загрязнения, старые покрытия, пленкообразующие материалы, водоотталкивающие материалы или цементное молочко), а также повреждённые бетонные поверхности должны быть предварительно обработаны пескоструйной или водоструйной обработкой. Основание должно быть шероховатым, т.е. заполнитель должен быть отчётливо виден. Предварительно обработанное основание необходимо увлажнять в течение 3 часов. Поверхность должна быть влажной, но при 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установки. Для длительной защиты арматуры </w:t>
            </w:r>
          </w:p>
          <w:p w:rsidR="003009F9" w:rsidRDefault="003009F9" w:rsidP="007F502A">
            <w:pPr>
              <w:ind w:left="317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3009F9">
              <w:rPr>
                <w:rFonts w:ascii="Arial" w:hAnsi="Arial" w:cs="Arial"/>
                <w:bCs/>
                <w:color w:val="000000"/>
              </w:rPr>
              <w:lastRenderedPageBreak/>
              <w:t>к применению. Использовать полученный раствор необходимо в течении 10 мин. При повышении вязкости раствора в емкости (в пределах времени жизнеспособности) необходимо тщательно перемешать его без добавления воды. Не допускать передозировку воды!!! Для приготовления раствора использовать только чистые емкости, инструменты и воду.</w:t>
            </w:r>
          </w:p>
          <w:p w:rsidR="0075147B" w:rsidRPr="00B97F93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3009F9" w:rsidRDefault="003009F9" w:rsidP="003009F9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Раствор наносится</w:t>
            </w:r>
            <w:r w:rsidRPr="00642EB7">
              <w:rPr>
                <w:rFonts w:ascii="Arial" w:hAnsi="Arial" w:cs="Arial"/>
                <w:color w:val="000000"/>
              </w:rPr>
              <w:t xml:space="preserve"> на </w:t>
            </w:r>
            <w:r>
              <w:rPr>
                <w:rFonts w:ascii="Arial" w:hAnsi="Arial" w:cs="Arial"/>
                <w:color w:val="000000"/>
              </w:rPr>
              <w:t xml:space="preserve">подготовленную </w:t>
            </w:r>
            <w:r w:rsidRPr="002C134E">
              <w:rPr>
                <w:rFonts w:ascii="Arial" w:hAnsi="Arial" w:cs="Arial"/>
                <w:color w:val="000000"/>
              </w:rPr>
              <w:t xml:space="preserve">поверхность вручную </w:t>
            </w:r>
            <w:r>
              <w:rPr>
                <w:rFonts w:ascii="Arial" w:hAnsi="Arial" w:cs="Arial"/>
                <w:color w:val="000000"/>
              </w:rPr>
              <w:t>толщиной от 5</w:t>
            </w:r>
            <w:r w:rsidRPr="002C134E">
              <w:rPr>
                <w:rFonts w:ascii="Arial" w:hAnsi="Arial" w:cs="Arial"/>
                <w:color w:val="000000"/>
              </w:rPr>
              <w:t xml:space="preserve"> до 50 мм.</w:t>
            </w: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315F22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W w:w="105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  <w:gridCol w:w="2864"/>
            </w:tblGrid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 часа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20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24 часа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25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</w:t>
                  </w: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 часа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4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24 часа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</w:p>
              </w:tc>
            </w:tr>
            <w:tr w:rsidR="003009F9" w:rsidRPr="00F65A2C" w:rsidTr="003009F9">
              <w:trPr>
                <w:trHeight w:val="237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9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Жизнеспособность, мин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10-15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0,15-0,16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Морозостойкость, циклы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300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Плотность раствора, кг/м</w:t>
                  </w:r>
                  <w:r w:rsidRPr="00273D31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2100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Температура проведения работ,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-10….+35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Толщина нанесения, мм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  <w:r w:rsidR="00CE6B05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-</w:t>
                  </w:r>
                  <w:r w:rsidR="00CE6B05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50</w:t>
                  </w:r>
                </w:p>
              </w:tc>
            </w:tr>
            <w:tr w:rsidR="003009F9" w:rsidRPr="00F65A2C" w:rsidTr="003009F9">
              <w:trPr>
                <w:trHeight w:val="218"/>
              </w:trPr>
              <w:tc>
                <w:tcPr>
                  <w:tcW w:w="7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Максимальная крупность наполнителя, мм</w:t>
                  </w:r>
                </w:p>
              </w:tc>
              <w:tc>
                <w:tcPr>
                  <w:tcW w:w="2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09F9" w:rsidRPr="00273D31" w:rsidRDefault="003009F9" w:rsidP="003009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273D31">
                    <w:rPr>
                      <w:rFonts w:ascii="Arial" w:hAnsi="Arial" w:cs="Arial"/>
                      <w:color w:val="000000"/>
                      <w:kern w:val="24"/>
                    </w:rPr>
                    <w:t>2,5</w:t>
                  </w:r>
                </w:p>
              </w:tc>
            </w:tr>
          </w:tbl>
          <w:p w:rsidR="00DD50F3" w:rsidRDefault="00DD50F3"/>
        </w:tc>
      </w:tr>
      <w:tr w:rsidR="00DD50F3" w:rsidTr="00315F22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1781C"/>
    <w:multiLevelType w:val="hybridMultilevel"/>
    <w:tmpl w:val="1FE4D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F755F1"/>
    <w:multiLevelType w:val="hybridMultilevel"/>
    <w:tmpl w:val="748A6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4B5672"/>
    <w:multiLevelType w:val="hybridMultilevel"/>
    <w:tmpl w:val="5BA070F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A5931"/>
    <w:rsid w:val="000C0F44"/>
    <w:rsid w:val="00153B10"/>
    <w:rsid w:val="001A77EA"/>
    <w:rsid w:val="001D7EDA"/>
    <w:rsid w:val="001F3D6A"/>
    <w:rsid w:val="00211AD6"/>
    <w:rsid w:val="00282ACA"/>
    <w:rsid w:val="002D11A4"/>
    <w:rsid w:val="003009F9"/>
    <w:rsid w:val="00315F22"/>
    <w:rsid w:val="003E1A42"/>
    <w:rsid w:val="003F716B"/>
    <w:rsid w:val="00410A39"/>
    <w:rsid w:val="00424997"/>
    <w:rsid w:val="004C0CED"/>
    <w:rsid w:val="00550912"/>
    <w:rsid w:val="005644DB"/>
    <w:rsid w:val="00666729"/>
    <w:rsid w:val="006C1BB0"/>
    <w:rsid w:val="00731713"/>
    <w:rsid w:val="00747F5F"/>
    <w:rsid w:val="0075147B"/>
    <w:rsid w:val="007A0ABC"/>
    <w:rsid w:val="007F502A"/>
    <w:rsid w:val="0092235A"/>
    <w:rsid w:val="00A02036"/>
    <w:rsid w:val="00A65DD9"/>
    <w:rsid w:val="00A66D0E"/>
    <w:rsid w:val="00AC2AFD"/>
    <w:rsid w:val="00AE4D7A"/>
    <w:rsid w:val="00BD00C4"/>
    <w:rsid w:val="00BF5B80"/>
    <w:rsid w:val="00C213E3"/>
    <w:rsid w:val="00C83629"/>
    <w:rsid w:val="00CE6B05"/>
    <w:rsid w:val="00DD50F3"/>
    <w:rsid w:val="00E07D01"/>
    <w:rsid w:val="00E8652F"/>
    <w:rsid w:val="00F125A6"/>
    <w:rsid w:val="00F45432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D0CF6D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Двукраев Константин Сергеевич</cp:lastModifiedBy>
  <cp:revision>7</cp:revision>
  <cp:lastPrinted>2016-08-15T08:56:00Z</cp:lastPrinted>
  <dcterms:created xsi:type="dcterms:W3CDTF">2016-08-15T11:08:00Z</dcterms:created>
  <dcterms:modified xsi:type="dcterms:W3CDTF">2018-12-20T14:25:00Z</dcterms:modified>
</cp:coreProperties>
</file>