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8C74AC">
        <w:trPr>
          <w:trHeight w:val="397"/>
        </w:trPr>
        <w:tc>
          <w:tcPr>
            <w:tcW w:w="5356" w:type="dxa"/>
          </w:tcPr>
          <w:p w:rsidR="00F92474" w:rsidRPr="005C5587" w:rsidRDefault="005C5587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40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  <w:proofErr w:type="spellStart"/>
            <w:r w:rsidR="006B05F8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Sm</w:t>
            </w:r>
            <w:proofErr w:type="spellEnd"/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092ED2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092ED2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2318400" cy="4191543"/>
                  <wp:effectExtent l="0" t="0" r="5715" b="0"/>
                  <wp:docPr id="5" name="Рисунок 5" descr="\\rnp4\Markiting_Arc\Malinovkin\_1Обмен\Мешки_3D\INDASTRO\PNG\Актуальные\Profskrin_RC40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np4\Markiting_Arc\Malinovkin\_1Обмен\Мешки_3D\INDASTRO\PNG\Актуальные\Profskrin_RC40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419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8C74AC">
        <w:trPr>
          <w:trHeight w:val="502"/>
        </w:trPr>
        <w:tc>
          <w:tcPr>
            <w:tcW w:w="5356" w:type="dxa"/>
          </w:tcPr>
          <w:p w:rsidR="006B05F8" w:rsidRDefault="00467256" w:rsidP="006B05F8">
            <w:pPr>
              <w:ind w:left="-108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  <w:r w:rsidRPr="00467256">
              <w:rPr>
                <w:rFonts w:ascii="Arial" w:hAnsi="Arial" w:cs="Arial"/>
                <w:b/>
                <w:color w:val="000000"/>
                <w:kern w:val="24"/>
                <w:sz w:val="18"/>
              </w:rPr>
              <w:t>Финишный ремонтный состав для чистовой отделки бетонн</w:t>
            </w:r>
            <w:r w:rsidR="00BC1DB6">
              <w:rPr>
                <w:rFonts w:ascii="Arial" w:hAnsi="Arial" w:cs="Arial"/>
                <w:b/>
                <w:color w:val="000000"/>
                <w:kern w:val="24"/>
                <w:sz w:val="18"/>
              </w:rPr>
              <w:t>ых поверхностей</w:t>
            </w:r>
            <w:r w:rsidR="006B05F8" w:rsidRPr="006B05F8">
              <w:rPr>
                <w:rFonts w:ascii="Arial" w:hAnsi="Arial" w:cs="Arial"/>
                <w:b/>
                <w:color w:val="000000"/>
                <w:kern w:val="24"/>
                <w:sz w:val="18"/>
              </w:rPr>
              <w:t xml:space="preserve"> </w:t>
            </w:r>
            <w:r w:rsidR="006B05F8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при температуре от -10 </w:t>
            </w:r>
            <w:r w:rsidR="006B05F8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sym w:font="Symbol" w:char="F0B0"/>
            </w:r>
            <w:r w:rsidR="006B05F8"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С </w:t>
            </w:r>
          </w:p>
          <w:p w:rsidR="00467256" w:rsidRDefault="006B05F8" w:rsidP="006B05F8">
            <w:pPr>
              <w:ind w:left="-108"/>
            </w:pP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 xml:space="preserve">до +10 </w:t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sym w:font="Symbol" w:char="F0B0"/>
            </w:r>
            <w:r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  <w:t>С</w:t>
            </w:r>
            <w:r w:rsidR="00BC1DB6">
              <w:rPr>
                <w:rFonts w:ascii="Arial" w:hAnsi="Arial" w:cs="Arial"/>
                <w:b/>
                <w:color w:val="000000"/>
                <w:kern w:val="24"/>
                <w:sz w:val="18"/>
              </w:rPr>
              <w:t>. Толщина слоя</w:t>
            </w:r>
            <w:r w:rsidR="00467256" w:rsidRPr="00467256">
              <w:rPr>
                <w:rFonts w:ascii="Arial" w:hAnsi="Arial" w:cs="Arial"/>
                <w:b/>
                <w:color w:val="000000"/>
                <w:kern w:val="24"/>
                <w:sz w:val="18"/>
              </w:rPr>
              <w:t xml:space="preserve"> от 2 до 20 мм</w:t>
            </w:r>
            <w:r w:rsidR="0046725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8C74AC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6B05F8" w:rsidRDefault="006B05F8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проведения работ в зимний период</w:t>
            </w: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безусадочным</w:t>
            </w:r>
          </w:p>
          <w:p w:rsidR="00467256" w:rsidRDefault="00467256" w:rsidP="0046725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Внутреннее армирование минимизирует тенденцию к образованию трещин</w:t>
            </w: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Возможность нанесения ручным и механизированным способом</w:t>
            </w:r>
          </w:p>
          <w:p w:rsidR="00F92474" w:rsidRPr="004F4B3A" w:rsidRDefault="00467256" w:rsidP="004F4B3A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4670DF">
              <w:rPr>
                <w:rFonts w:ascii="Arial" w:hAnsi="Arial" w:cs="Arial"/>
              </w:rPr>
              <w:t>Высокая износостойкость</w:t>
            </w:r>
            <w:bookmarkStart w:id="0" w:name="_GoBack"/>
            <w:bookmarkEnd w:id="0"/>
          </w:p>
          <w:p w:rsidR="00F92474" w:rsidRPr="003E1A42" w:rsidRDefault="00F92474" w:rsidP="004670DF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4670DF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8C74AC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8C74AC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467256" w:rsidRPr="00153C10" w:rsidRDefault="00467256" w:rsidP="00467256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0F215C">
              <w:rPr>
                <w:rFonts w:ascii="Arial" w:hAnsi="Arial" w:cs="Arial"/>
                <w:color w:val="000000"/>
                <w:kern w:val="24"/>
              </w:rPr>
              <w:t>Финишный ремонтный состав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0F215C">
              <w:rPr>
                <w:rFonts w:ascii="Arial" w:hAnsi="Arial" w:cs="Arial"/>
                <w:color w:val="000000"/>
                <w:kern w:val="24"/>
              </w:rPr>
              <w:t xml:space="preserve"> RC40 </w:t>
            </w:r>
            <w:r w:rsidR="006022D4">
              <w:rPr>
                <w:rFonts w:ascii="Arial" w:hAnsi="Arial" w:cs="Arial"/>
                <w:color w:val="000000"/>
                <w:kern w:val="24"/>
                <w:lang w:val="en-US"/>
              </w:rPr>
              <w:t>F</w:t>
            </w:r>
            <w:r w:rsidRPr="000F215C">
              <w:rPr>
                <w:rFonts w:ascii="Arial" w:hAnsi="Arial" w:cs="Arial"/>
                <w:color w:val="000000"/>
                <w:kern w:val="24"/>
              </w:rPr>
              <w:t>S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изготовленная на основе портландцемента, </w:t>
            </w:r>
            <w:r w:rsidRPr="00D939B6">
              <w:rPr>
                <w:rFonts w:ascii="Arial" w:hAnsi="Arial" w:cs="Arial"/>
                <w:b/>
                <w:color w:val="000000"/>
                <w:kern w:val="24"/>
              </w:rPr>
              <w:t>фракционированного песка с максимальной крупностью 0,63 мм,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фиброволокна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финишной отделки бетонных поверхностей.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467256" w:rsidRDefault="00467256" w:rsidP="00467256">
            <w:pPr>
              <w:ind w:left="33" w:right="-1"/>
              <w:jc w:val="both"/>
              <w:rPr>
                <w:rFonts w:ascii="Arial" w:hAnsi="Arial" w:cs="Arial"/>
                <w:b/>
              </w:rPr>
            </w:pPr>
            <w:r w:rsidRPr="000F215C">
              <w:rPr>
                <w:rFonts w:ascii="Arial" w:hAnsi="Arial" w:cs="Arial"/>
                <w:color w:val="000000"/>
                <w:kern w:val="24"/>
              </w:rPr>
              <w:t>Финишный ремонтный состав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0F215C">
              <w:rPr>
                <w:rFonts w:ascii="Arial" w:hAnsi="Arial" w:cs="Arial"/>
                <w:color w:val="000000"/>
                <w:kern w:val="24"/>
              </w:rPr>
              <w:t xml:space="preserve"> RC40 </w:t>
            </w:r>
            <w:r w:rsidR="009717E5">
              <w:rPr>
                <w:rFonts w:ascii="Arial" w:hAnsi="Arial" w:cs="Arial"/>
                <w:color w:val="000000"/>
                <w:kern w:val="24"/>
                <w:lang w:val="en-US"/>
              </w:rPr>
              <w:t>F</w:t>
            </w:r>
            <w:r w:rsidRPr="000F215C">
              <w:rPr>
                <w:rFonts w:ascii="Arial" w:hAnsi="Arial" w:cs="Arial"/>
                <w:color w:val="000000"/>
                <w:kern w:val="24"/>
              </w:rPr>
              <w:t>S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Pr="00153C10">
              <w:rPr>
                <w:rFonts w:ascii="Arial" w:hAnsi="Arial" w:cs="Arial"/>
              </w:rPr>
              <w:t xml:space="preserve"> применяется для</w:t>
            </w:r>
            <w:r w:rsidR="009717E5" w:rsidRPr="009717E5">
              <w:rPr>
                <w:rFonts w:ascii="Arial" w:hAnsi="Arial" w:cs="Arial"/>
              </w:rPr>
              <w:t xml:space="preserve"> </w:t>
            </w:r>
            <w:r w:rsidR="009717E5">
              <w:rPr>
                <w:rFonts w:ascii="Arial" w:hAnsi="Arial" w:cs="Arial"/>
              </w:rPr>
              <w:t>чистовой отделки в зимний период</w:t>
            </w:r>
            <w:r w:rsidRPr="00153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бетонных конструкций: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6022D4" w:rsidRPr="003F1A46" w:rsidRDefault="006022D4" w:rsidP="006022D4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Подземные инженерные сооружения (каналы, трубопроводы и др.)</w:t>
            </w:r>
          </w:p>
          <w:p w:rsidR="006022D4" w:rsidRPr="003F1A46" w:rsidRDefault="006022D4" w:rsidP="006022D4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64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AB03A6" w:rsidRPr="00CB7C00" w:rsidRDefault="005472DD" w:rsidP="00AB03A6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lastRenderedPageBreak/>
              <w:t xml:space="preserve">обработать ремонтируемый участок с помощью горелки. При проведении работ при отрицательных температурах основание не увлажняется.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>Для улучшения сцепления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467256" w:rsidRPr="00F66729">
              <w:rPr>
                <w:rFonts w:ascii="Arial" w:hAnsi="Arial" w:cs="Arial"/>
                <w:color w:val="000000"/>
                <w:kern w:val="24"/>
              </w:rPr>
              <w:t xml:space="preserve">рекомендуется нанесение грунтовочного слоя из антикоррозионного или ремонтного состава </w:t>
            </w:r>
            <w:proofErr w:type="spellStart"/>
            <w:r w:rsidR="00467256"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="00467256"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="00467256"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 w:rsidR="00467256">
              <w:rPr>
                <w:rFonts w:ascii="Arial" w:hAnsi="Arial" w:cs="Arial"/>
                <w:bCs/>
                <w:color w:val="000000"/>
              </w:rPr>
              <w:t>При этом н</w:t>
            </w:r>
            <w:r w:rsidR="00467256"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  <w:r w:rsidR="00AB03A6">
              <w:rPr>
                <w:rFonts w:ascii="Arial" w:hAnsi="Arial" w:cs="Arial"/>
                <w:bCs/>
                <w:color w:val="000000"/>
              </w:rPr>
              <w:t xml:space="preserve"> Непосредственно перед производством ремонтных работ температура основания должна быть положительной. Для этого необходимо обеспечить ее прогрев при помощи горелок, инфракрасных нагревателей, </w:t>
            </w:r>
            <w:proofErr w:type="spellStart"/>
            <w:r w:rsidR="00AB03A6">
              <w:rPr>
                <w:rFonts w:ascii="Arial" w:hAnsi="Arial" w:cs="Arial"/>
                <w:bCs/>
                <w:color w:val="000000"/>
              </w:rPr>
              <w:t>термоматов</w:t>
            </w:r>
            <w:proofErr w:type="spellEnd"/>
            <w:r w:rsidR="00AB03A6">
              <w:rPr>
                <w:rFonts w:ascii="Arial" w:hAnsi="Arial" w:cs="Arial"/>
                <w:bCs/>
                <w:color w:val="000000"/>
              </w:rPr>
              <w:t>.</w:t>
            </w:r>
          </w:p>
          <w:p w:rsidR="00467256" w:rsidRDefault="00467256" w:rsidP="0075147B">
            <w:pPr>
              <w:ind w:left="33" w:right="145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D50F3" w:rsidRPr="00F45432" w:rsidRDefault="00AB03A6" w:rsidP="00AB03A6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Температура воды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затворения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при отрицательных температурах должна быть 30-50 </w:t>
            </w:r>
            <w:r>
              <w:rPr>
                <w:rFonts w:ascii="Arial" w:hAnsi="Arial" w:cs="Arial"/>
                <w:bCs/>
                <w:color w:val="000000"/>
              </w:rPr>
              <w:sym w:font="Symbol" w:char="F0B0"/>
            </w:r>
            <w:r>
              <w:rPr>
                <w:rFonts w:ascii="Arial" w:hAnsi="Arial" w:cs="Arial"/>
                <w:bCs/>
                <w:color w:val="000000"/>
              </w:rPr>
              <w:t xml:space="preserve">С. Сухая ремонтная смесь перед приготовлением должна иметь температуру не ниже +5 </w:t>
            </w:r>
            <w:r>
              <w:rPr>
                <w:rFonts w:ascii="Arial" w:hAnsi="Arial" w:cs="Arial"/>
                <w:bCs/>
                <w:color w:val="000000"/>
              </w:rPr>
              <w:sym w:font="Symbol" w:char="F0B0"/>
            </w:r>
            <w:r>
              <w:rPr>
                <w:rFonts w:ascii="Arial" w:hAnsi="Arial" w:cs="Arial"/>
                <w:bCs/>
                <w:color w:val="000000"/>
              </w:rPr>
              <w:t xml:space="preserve">С. </w:t>
            </w:r>
            <w:r w:rsidR="00467256"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 w:rsidR="00467256">
              <w:rPr>
                <w:rFonts w:ascii="Arial" w:hAnsi="Arial" w:cs="Arial"/>
                <w:bCs/>
                <w:color w:val="000000"/>
              </w:rPr>
              <w:t xml:space="preserve"> (из расчета 0,16-0,17 л/кг)</w:t>
            </w:r>
            <w:r w:rsidR="00467256"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="00467256"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 w:rsidR="00467256"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="00467256"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="00467256" w:rsidRPr="00B97F93">
              <w:rPr>
                <w:rFonts w:ascii="Arial" w:hAnsi="Arial" w:cs="Arial"/>
                <w:color w:val="000000"/>
              </w:rPr>
              <w:t xml:space="preserve">использовать весь </w:t>
            </w:r>
          </w:p>
        </w:tc>
        <w:tc>
          <w:tcPr>
            <w:tcW w:w="5417" w:type="dxa"/>
          </w:tcPr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6022D4" w:rsidRDefault="00467256" w:rsidP="006022D4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</w:t>
            </w:r>
            <w:r>
              <w:rPr>
                <w:rFonts w:ascii="Arial" w:hAnsi="Arial" w:cs="Arial"/>
                <w:bCs/>
                <w:color w:val="000000"/>
              </w:rPr>
              <w:t>обработкой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. Основание должно быть шероховатым, т.е. заполнитель должен быть отчётливо виден. </w:t>
            </w:r>
            <w:r w:rsidR="006022D4" w:rsidRPr="00464661">
              <w:rPr>
                <w:rFonts w:ascii="Arial" w:hAnsi="Arial" w:cs="Arial"/>
                <w:bCs/>
                <w:color w:val="000000"/>
              </w:rPr>
              <w:t>Необходимо удалить все продукты коррозии с</w:t>
            </w:r>
            <w:r w:rsidR="005472DD" w:rsidRPr="00464661">
              <w:rPr>
                <w:rFonts w:ascii="Arial" w:hAnsi="Arial" w:cs="Arial"/>
                <w:bCs/>
                <w:color w:val="000000"/>
              </w:rPr>
              <w:t xml:space="preserve"> бетонного основания, а также со стальной арматуры с помощью пескоструйной установки. Для длительной защиты арматуры от коррозии необходимо нанести антикоррозионный </w:t>
            </w:r>
            <w:r w:rsidR="005472DD">
              <w:rPr>
                <w:rFonts w:ascii="Arial" w:hAnsi="Arial" w:cs="Arial"/>
                <w:bCs/>
                <w:color w:val="000000"/>
              </w:rPr>
              <w:t>состав</w:t>
            </w:r>
          </w:p>
          <w:p w:rsidR="005472DD" w:rsidRDefault="005472DD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>
              <w:rPr>
                <w:rFonts w:ascii="Arial" w:hAnsi="Arial" w:cs="Arial"/>
                <w:bCs/>
                <w:color w:val="000000"/>
              </w:rPr>
              <w:t xml:space="preserve"> 2.5. </w:t>
            </w:r>
            <w:r>
              <w:rPr>
                <w:rFonts w:ascii="Arial" w:hAnsi="Arial" w:cs="Arial"/>
                <w:color w:val="000000"/>
                <w:kern w:val="24"/>
              </w:rPr>
              <w:t>Для удаления снега</w:t>
            </w:r>
            <w:r w:rsidR="00AB03A6">
              <w:rPr>
                <w:rFonts w:ascii="Arial" w:hAnsi="Arial" w:cs="Arial"/>
                <w:color w:val="000000"/>
                <w:kern w:val="24"/>
              </w:rPr>
              <w:t>, льда,</w:t>
            </w:r>
            <w:r w:rsidR="00511AEC">
              <w:rPr>
                <w:rFonts w:ascii="Arial" w:hAnsi="Arial" w:cs="Arial"/>
                <w:color w:val="000000"/>
                <w:kern w:val="24"/>
              </w:rPr>
              <w:t xml:space="preserve"> наледи и прогрева основания необходимо</w:t>
            </w:r>
          </w:p>
          <w:p w:rsidR="00467256" w:rsidRDefault="00AB03A6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lastRenderedPageBreak/>
              <w:t>мешок с материалом.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Раствор необходимо выдержать 3-5 минут, а затем повторно перемешать.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67256"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</w:t>
            </w:r>
            <w:r w:rsidR="00467256">
              <w:rPr>
                <w:rFonts w:ascii="Arial" w:hAnsi="Arial" w:cs="Arial"/>
                <w:bCs/>
                <w:color w:val="000000"/>
              </w:rPr>
              <w:t>Использовать полученный</w:t>
            </w:r>
            <w:r w:rsidR="00444D0E">
              <w:rPr>
                <w:rFonts w:ascii="Arial" w:hAnsi="Arial" w:cs="Arial"/>
                <w:bCs/>
                <w:color w:val="000000"/>
              </w:rPr>
              <w:t xml:space="preserve"> раствор необходимо в течении 30</w:t>
            </w:r>
            <w:r w:rsidR="00467256">
              <w:rPr>
                <w:rFonts w:ascii="Arial" w:hAnsi="Arial" w:cs="Arial"/>
                <w:bCs/>
                <w:color w:val="000000"/>
              </w:rPr>
              <w:t xml:space="preserve"> мин.</w:t>
            </w:r>
            <w:r w:rsidR="00467256"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="00467256"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="00467256"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 w:rsidR="00467256">
              <w:rPr>
                <w:rFonts w:ascii="Arial" w:hAnsi="Arial" w:cs="Arial"/>
                <w:color w:val="000000"/>
              </w:rPr>
              <w:t>подготовленную поверхность (от 2 до 2</w:t>
            </w:r>
            <w:r>
              <w:rPr>
                <w:rFonts w:ascii="Arial" w:hAnsi="Arial" w:cs="Arial"/>
                <w:color w:val="000000"/>
              </w:rPr>
              <w:t>0 мм).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AB03A6" w:rsidRPr="00850C99" w:rsidRDefault="00AB03A6" w:rsidP="00AB03A6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850C99">
              <w:rPr>
                <w:rFonts w:ascii="Arial" w:hAnsi="Arial" w:cs="Arial"/>
                <w:b/>
                <w:color w:val="000000"/>
              </w:rPr>
              <w:t>Уход</w:t>
            </w:r>
          </w:p>
          <w:p w:rsidR="00AB03A6" w:rsidRDefault="00AB03A6" w:rsidP="00AB03A6">
            <w:pPr>
              <w:ind w:left="35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Место проведения работ должно быть оборудовано защитными конструкциями и устройствами для поддержания положительной температуры в течение не менее 3-х суток после проведения ремонта</w:t>
            </w:r>
          </w:p>
          <w:p w:rsidR="00AB03A6" w:rsidRPr="00CB7C00" w:rsidRDefault="00AB03A6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8C74AC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8"/>
              <w:gridCol w:w="2412"/>
            </w:tblGrid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Прочность на сжатие, МПа, 1 сутки,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CB36B9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 w:rsidRPr="00CB36B9">
                    <w:rPr>
                      <w:rFonts w:ascii="Arial" w:hAnsi="Arial" w:cs="Arial"/>
                      <w:kern w:val="24"/>
                    </w:rPr>
                    <w:t>20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</w:rPr>
                    <w:t>Прочность на сжатие, МПа, 7 сутки,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4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6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167FFC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</w:t>
                  </w:r>
                  <w:r w:rsidRPr="00167FFC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1,5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2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-20</w:t>
                  </w:r>
                </w:p>
              </w:tc>
            </w:tr>
            <w:tr w:rsidR="00467256" w:rsidRPr="00125F6A" w:rsidTr="00F03AAE">
              <w:trPr>
                <w:trHeight w:val="281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771C0B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97094E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2,0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0,16-0,17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00</w:t>
                  </w:r>
                </w:p>
              </w:tc>
            </w:tr>
            <w:tr w:rsidR="00467256" w:rsidRPr="00125F6A" w:rsidTr="00F03AAE">
              <w:trPr>
                <w:trHeight w:val="297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864DC9" w:rsidP="00864D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-10</w:t>
                  </w:r>
                  <w:r w:rsidR="00467256" w:rsidRPr="0065077A">
                    <w:rPr>
                      <w:rFonts w:ascii="Arial" w:hAnsi="Arial" w:cs="Arial"/>
                      <w:kern w:val="24"/>
                    </w:rPr>
                    <w:t>….+</w:t>
                  </w:r>
                  <w:r>
                    <w:rPr>
                      <w:rFonts w:ascii="Arial" w:hAnsi="Arial" w:cs="Arial"/>
                      <w:kern w:val="24"/>
                    </w:rPr>
                    <w:t>1</w:t>
                  </w:r>
                  <w:r w:rsidR="00467256" w:rsidRPr="0065077A">
                    <w:rPr>
                      <w:rFonts w:ascii="Arial" w:hAnsi="Arial" w:cs="Arial"/>
                      <w:kern w:val="24"/>
                    </w:rPr>
                    <w:t>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</w:rPr>
                    <w:t>Максимальная крупность наполнителя, мм</w:t>
                  </w:r>
                  <w:r>
                    <w:rPr>
                      <w:rFonts w:ascii="Arial" w:hAnsi="Arial" w:cs="Arial"/>
                    </w:rPr>
                    <w:t>, не более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 w:rsidRPr="00864DC9">
                    <w:rPr>
                      <w:rFonts w:ascii="Arial" w:hAnsi="Arial" w:cs="Arial"/>
                      <w:kern w:val="24"/>
                    </w:rPr>
                    <w:t>0</w:t>
                  </w:r>
                  <w:r>
                    <w:rPr>
                      <w:rFonts w:ascii="Arial" w:hAnsi="Arial" w:cs="Arial"/>
                      <w:kern w:val="24"/>
                    </w:rPr>
                    <w:t>,63</w:t>
                  </w:r>
                </w:p>
              </w:tc>
            </w:tr>
          </w:tbl>
          <w:p w:rsidR="00DD50F3" w:rsidRDefault="00DD50F3"/>
        </w:tc>
      </w:tr>
      <w:tr w:rsidR="00DD50F3" w:rsidTr="008C74AC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6D8"/>
    <w:multiLevelType w:val="hybridMultilevel"/>
    <w:tmpl w:val="F6885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CF4399"/>
    <w:multiLevelType w:val="hybridMultilevel"/>
    <w:tmpl w:val="287EE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3D6B4D"/>
    <w:multiLevelType w:val="hybridMultilevel"/>
    <w:tmpl w:val="4CCEE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92ED2"/>
    <w:rsid w:val="001A77EA"/>
    <w:rsid w:val="00282ACA"/>
    <w:rsid w:val="002D11A4"/>
    <w:rsid w:val="003E1A42"/>
    <w:rsid w:val="003F716B"/>
    <w:rsid w:val="00410A39"/>
    <w:rsid w:val="00444D0E"/>
    <w:rsid w:val="004670DF"/>
    <w:rsid w:val="00467256"/>
    <w:rsid w:val="004C0CED"/>
    <w:rsid w:val="004F4B3A"/>
    <w:rsid w:val="00511AEC"/>
    <w:rsid w:val="005472DD"/>
    <w:rsid w:val="005644DB"/>
    <w:rsid w:val="005C5587"/>
    <w:rsid w:val="006022D4"/>
    <w:rsid w:val="006B05F8"/>
    <w:rsid w:val="006C1BB0"/>
    <w:rsid w:val="00731713"/>
    <w:rsid w:val="00747F5F"/>
    <w:rsid w:val="0075147B"/>
    <w:rsid w:val="00771C0B"/>
    <w:rsid w:val="00864DC9"/>
    <w:rsid w:val="008C74AC"/>
    <w:rsid w:val="00903CA5"/>
    <w:rsid w:val="009717E5"/>
    <w:rsid w:val="00A02036"/>
    <w:rsid w:val="00A65DD9"/>
    <w:rsid w:val="00A66D0E"/>
    <w:rsid w:val="00AB03A6"/>
    <w:rsid w:val="00BC1DB6"/>
    <w:rsid w:val="00BD00C4"/>
    <w:rsid w:val="00C213E3"/>
    <w:rsid w:val="00C83629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46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12</cp:revision>
  <cp:lastPrinted>2016-08-15T08:44:00Z</cp:lastPrinted>
  <dcterms:created xsi:type="dcterms:W3CDTF">2016-10-03T12:29:00Z</dcterms:created>
  <dcterms:modified xsi:type="dcterms:W3CDTF">2016-11-14T09:12:00Z</dcterms:modified>
</cp:coreProperties>
</file>